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713"/>
        <w:gridCol w:w="3683"/>
        <w:gridCol w:w="1347"/>
        <w:gridCol w:w="266"/>
        <w:gridCol w:w="87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9155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 学 进 度 计 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  <w:tc>
          <w:tcPr>
            <w:tcW w:w="3683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课程类型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163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授课专业</w:t>
            </w:r>
          </w:p>
        </w:tc>
        <w:tc>
          <w:tcPr>
            <w:tcW w:w="7518" w:type="dxa"/>
            <w:gridSpan w:val="5"/>
            <w:noWrap w:val="0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周次</w:t>
            </w: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主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题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课时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周次</w:t>
            </w: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授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主</w:t>
            </w:r>
            <w:r>
              <w:rPr>
                <w:rFonts w:hint="eastAsia" w:ascii="Calibri" w:eastAsia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题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课时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60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</w:pPr>
      <w:r>
        <w:rPr>
          <w:rFonts w:hint="eastAsia" w:eastAsia="宋体"/>
          <w:sz w:val="28"/>
          <w:szCs w:val="28"/>
          <w:lang w:eastAsia="zh-CN"/>
        </w:rPr>
        <w:t>授课教师签字：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Calibri" w:eastAsia="宋体"/>
          <w:sz w:val="28"/>
          <w:szCs w:val="28"/>
          <w:u w:val="none"/>
          <w:lang w:val="en-US" w:eastAsia="zh-CN"/>
        </w:rPr>
        <w:t xml:space="preserve">    教研室主任签字：</w:t>
      </w:r>
      <w:r>
        <w:rPr>
          <w:rFonts w:hint="eastAsia" w:ascii="Calibri" w:eastAsia="宋体"/>
          <w:sz w:val="28"/>
          <w:szCs w:val="28"/>
          <w:u w:val="single"/>
          <w:lang w:val="en-US" w:eastAsia="zh-CN"/>
        </w:rPr>
        <w:t xml:space="preserve">             </w:t>
      </w:r>
      <w:bookmarkStart w:id="0" w:name="_GoBack"/>
      <w:bookmarkEnd w:id="0"/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82D6E"/>
    <w:rsid w:val="6D58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2021-01-05T01:46:00Z</dcterms:created>
  <dc:creator>HP</dc:creator>
  <cp:lastModifiedBy>HP</cp:lastModifiedBy>
  <dcterms:modified xsi:type="dcterms:W3CDTF">2021-01-05T01:47:38Z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